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B" w:rsidRDefault="0082042B" w:rsidP="0082042B">
      <w:pPr>
        <w:pStyle w:val="a3"/>
        <w:jc w:val="center"/>
      </w:pPr>
      <w:r>
        <w:rPr>
          <w:rStyle w:val="a4"/>
          <w:rFonts w:ascii="Georgia" w:hAnsi="Georgia"/>
          <w:color w:val="B22222"/>
          <w:sz w:val="21"/>
          <w:szCs w:val="21"/>
        </w:rPr>
        <w:t xml:space="preserve">Информация о требованиях законодательства </w:t>
      </w:r>
    </w:p>
    <w:p w:rsidR="0082042B" w:rsidRDefault="0082042B" w:rsidP="0082042B">
      <w:pPr>
        <w:pStyle w:val="a3"/>
        <w:jc w:val="center"/>
      </w:pPr>
      <w:r>
        <w:rPr>
          <w:rStyle w:val="a4"/>
          <w:rFonts w:ascii="Georgia" w:hAnsi="Georgia"/>
          <w:color w:val="B22222"/>
          <w:sz w:val="21"/>
          <w:szCs w:val="21"/>
        </w:rPr>
        <w:t>об энергосбережении и повышении энергетической эффективности</w:t>
      </w:r>
    </w:p>
    <w:p w:rsidR="0082042B" w:rsidRDefault="0082042B" w:rsidP="0082042B">
      <w:pPr>
        <w:pStyle w:val="a3"/>
        <w:jc w:val="both"/>
      </w:pPr>
      <w:r>
        <w:rPr>
          <w:rStyle w:val="a4"/>
          <w:rFonts w:ascii="Georgia" w:hAnsi="Georgia"/>
          <w:color w:val="000000"/>
          <w:sz w:val="21"/>
          <w:szCs w:val="21"/>
        </w:rPr>
        <w:t xml:space="preserve">       Уважаемые жители </w:t>
      </w:r>
      <w:r w:rsidR="00C85547">
        <w:rPr>
          <w:rStyle w:val="a4"/>
          <w:rFonts w:ascii="Georgia" w:hAnsi="Georgia"/>
          <w:color w:val="000000"/>
          <w:sz w:val="21"/>
          <w:szCs w:val="21"/>
        </w:rPr>
        <w:t>с.</w:t>
      </w:r>
      <w:r w:rsidR="00680777">
        <w:rPr>
          <w:rStyle w:val="a4"/>
          <w:rFonts w:ascii="Georgia" w:hAnsi="Georgia"/>
          <w:color w:val="000000"/>
          <w:sz w:val="21"/>
          <w:szCs w:val="21"/>
        </w:rPr>
        <w:t xml:space="preserve"> </w:t>
      </w:r>
      <w:bookmarkStart w:id="0" w:name="_GoBack"/>
      <w:bookmarkEnd w:id="0"/>
      <w:r w:rsidR="00680777">
        <w:rPr>
          <w:rStyle w:val="a4"/>
          <w:rFonts w:ascii="Georgia" w:hAnsi="Georgia"/>
          <w:color w:val="000000"/>
          <w:sz w:val="21"/>
          <w:szCs w:val="21"/>
        </w:rPr>
        <w:t>Ярославка</w:t>
      </w:r>
      <w:r>
        <w:rPr>
          <w:rStyle w:val="a4"/>
          <w:rFonts w:ascii="Georgia" w:hAnsi="Georgia"/>
          <w:color w:val="000000"/>
          <w:sz w:val="21"/>
          <w:szCs w:val="21"/>
        </w:rPr>
        <w:t>!</w:t>
      </w:r>
    </w:p>
    <w:p w:rsidR="0082042B" w:rsidRDefault="0082042B" w:rsidP="0082042B">
      <w:pPr>
        <w:pStyle w:val="a3"/>
        <w:jc w:val="both"/>
      </w:pPr>
      <w:r>
        <w:rPr>
          <w:rFonts w:ascii="Georgia" w:hAnsi="Georgia"/>
          <w:color w:val="000000"/>
          <w:sz w:val="21"/>
          <w:szCs w:val="21"/>
        </w:rPr>
        <w:t>   Государственное регулирование в области энергосбережения и повышения энергетической эффективности осуществляется в соответствии с Федеральным законом от 18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  <w:r>
        <w:rPr>
          <w:rFonts w:ascii="Georgia" w:hAnsi="Georgia"/>
          <w:color w:val="000000"/>
          <w:sz w:val="21"/>
          <w:szCs w:val="21"/>
        </w:rPr>
        <w:br/>
        <w:t>Согласно вышеуказанного нормативно-правового акта выдвигаются следующие требования, обязанности и запреты для юридических и физических лиц Российской Федерации в сфере энергосбережения:</w:t>
      </w:r>
      <w:r>
        <w:rPr>
          <w:rFonts w:ascii="Georgia" w:hAnsi="Georgia"/>
          <w:color w:val="000000"/>
          <w:sz w:val="21"/>
          <w:szCs w:val="21"/>
        </w:rPr>
        <w:br/>
        <w:t>1) требований к обороту отдельных товаров, функциональное назначение которых предполагает использование энергетических ресурсов;</w:t>
      </w:r>
      <w:r>
        <w:rPr>
          <w:rFonts w:ascii="Georgia" w:hAnsi="Georgia"/>
          <w:color w:val="000000"/>
          <w:sz w:val="21"/>
          <w:szCs w:val="21"/>
        </w:rPr>
        <w:br/>
        <w:t>2) запретов или ограничений производства и оборота в Российской Федерации товаров, имеющих низкую энергетическую эффективность, при условии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  <w:r>
        <w:rPr>
          <w:rFonts w:ascii="Georgia" w:hAnsi="Georgia"/>
          <w:color w:val="000000"/>
          <w:sz w:val="21"/>
          <w:szCs w:val="21"/>
        </w:rPr>
        <w:br/>
        <w:t>3) обязанности по учету используемых энергетических ресурсов;</w:t>
      </w:r>
      <w:r>
        <w:rPr>
          <w:rFonts w:ascii="Georgia" w:hAnsi="Georgia"/>
          <w:color w:val="000000"/>
          <w:sz w:val="21"/>
          <w:szCs w:val="21"/>
        </w:rPr>
        <w:br/>
        <w:t>4) требований энергетической эффективности зданий, строений, сооружений;</w:t>
      </w:r>
      <w:r>
        <w:rPr>
          <w:rFonts w:ascii="Georgia" w:hAnsi="Georgia"/>
          <w:color w:val="000000"/>
          <w:sz w:val="21"/>
          <w:szCs w:val="21"/>
        </w:rPr>
        <w:br/>
        <w:t>5) обязанности проведения обязательного энергетического обследования;</w:t>
      </w:r>
      <w:r>
        <w:rPr>
          <w:rFonts w:ascii="Georgia" w:hAnsi="Georgia"/>
          <w:color w:val="000000"/>
          <w:sz w:val="21"/>
          <w:szCs w:val="21"/>
        </w:rPr>
        <w:br/>
        <w:t>6) требований к энергетическому паспорту;</w:t>
      </w:r>
      <w:r>
        <w:rPr>
          <w:rFonts w:ascii="Georgia" w:hAnsi="Georgia"/>
          <w:color w:val="000000"/>
          <w:sz w:val="21"/>
          <w:szCs w:val="21"/>
        </w:rPr>
        <w:br/>
        <w:t>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  <w:r>
        <w:rPr>
          <w:rFonts w:ascii="Georgia" w:hAnsi="Georgia"/>
          <w:color w:val="000000"/>
          <w:sz w:val="21"/>
          <w:szCs w:val="21"/>
        </w:rPr>
        <w:br/>
        <w:t>8)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нужд;</w:t>
      </w:r>
      <w:r>
        <w:rPr>
          <w:rFonts w:ascii="Georgia" w:hAnsi="Georgia"/>
          <w:color w:val="000000"/>
          <w:sz w:val="21"/>
          <w:szCs w:val="21"/>
        </w:rPr>
        <w:br/>
        <w:t>9) требований к региональным, муниципальным программам в области энергосбережения и повышения энергетической эффективности;</w:t>
      </w:r>
      <w:r>
        <w:rPr>
          <w:rFonts w:ascii="Georgia" w:hAnsi="Georgia"/>
          <w:color w:val="000000"/>
          <w:sz w:val="21"/>
          <w:szCs w:val="21"/>
        </w:rPr>
        <w:br/>
        <w:t>10)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</w:t>
      </w:r>
      <w:r>
        <w:rPr>
          <w:rFonts w:ascii="Georgia" w:hAnsi="Georgia"/>
          <w:color w:val="000000"/>
          <w:sz w:val="21"/>
          <w:szCs w:val="21"/>
        </w:rPr>
        <w:br/>
        <w:t>11) основ функционирования государственной информационной системы в области энергосбережения и повышения энергетической эффективности;</w:t>
      </w:r>
      <w:r>
        <w:rPr>
          <w:rFonts w:ascii="Georgia" w:hAnsi="Georgia"/>
          <w:color w:val="000000"/>
          <w:sz w:val="21"/>
          <w:szCs w:val="21"/>
        </w:rPr>
        <w:br/>
        <w:t>12) обязанности распространения информации в области энергосбережения и повышения энергетической эффективности;</w:t>
      </w:r>
      <w:r>
        <w:rPr>
          <w:rFonts w:ascii="Georgia" w:hAnsi="Georgia"/>
          <w:color w:val="000000"/>
          <w:sz w:val="21"/>
          <w:szCs w:val="21"/>
        </w:rPr>
        <w:br/>
        <w:t>13) обязанности реализации информационных программ и образовательных программ в области энергосбережения и повышения энергетической эффективности;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sz w:val="21"/>
          <w:szCs w:val="21"/>
        </w:rPr>
        <w:t>         Нарушение законодательства об энергосбережении и о повышении энергетической эффективности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  <w:t>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включения указанной информации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  <w:r>
        <w:rPr>
          <w:rFonts w:ascii="Georgia" w:hAnsi="Georgia"/>
          <w:color w:val="000000"/>
          <w:sz w:val="21"/>
          <w:szCs w:val="21"/>
        </w:rPr>
        <w:br/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обязательным, -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lastRenderedPageBreak/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  <w:r>
        <w:rPr>
          <w:rFonts w:ascii="Georgia" w:hAnsi="Georgia"/>
          <w:color w:val="000000"/>
          <w:sz w:val="21"/>
          <w:szCs w:val="21"/>
        </w:rPr>
        <w:br/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рублей.</w:t>
      </w:r>
      <w:r>
        <w:rPr>
          <w:rFonts w:ascii="Georgia" w:hAnsi="Georgia"/>
          <w:color w:val="000000"/>
          <w:sz w:val="21"/>
          <w:szCs w:val="21"/>
        </w:rPr>
        <w:br/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  <w:r>
        <w:rPr>
          <w:rFonts w:ascii="Georgia" w:hAnsi="Georgia"/>
          <w:color w:val="000000"/>
          <w:sz w:val="21"/>
          <w:szCs w:val="21"/>
        </w:rPr>
        <w:br/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  <w:r>
        <w:rPr>
          <w:rFonts w:ascii="Georgia" w:hAnsi="Georgia"/>
          <w:color w:val="000000"/>
          <w:sz w:val="21"/>
          <w:szCs w:val="21"/>
        </w:rPr>
        <w:br/>
        <w:t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  <w:r>
        <w:rPr>
          <w:rFonts w:ascii="Georgia" w:hAnsi="Georgia"/>
          <w:color w:val="000000"/>
          <w:sz w:val="21"/>
          <w:szCs w:val="21"/>
        </w:rPr>
        <w:br/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  <w:r>
        <w:rPr>
          <w:rFonts w:ascii="Georgia" w:hAnsi="Georgia"/>
          <w:color w:val="000000"/>
          <w:sz w:val="21"/>
          <w:szCs w:val="21"/>
        </w:rPr>
        <w:br/>
        <w:t>8. Несоблюдение сроков проведения обязательного энергетического обследования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рублей.</w:t>
      </w:r>
      <w:r>
        <w:rPr>
          <w:rFonts w:ascii="Georgia" w:hAnsi="Georgia"/>
          <w:color w:val="000000"/>
          <w:sz w:val="21"/>
          <w:szCs w:val="21"/>
        </w:rPr>
        <w:br/>
        <w:t>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lastRenderedPageBreak/>
        <w:t>10.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  <w:r>
        <w:rPr>
          <w:rFonts w:ascii="Georgia" w:hAnsi="Georgia"/>
          <w:color w:val="000000"/>
          <w:sz w:val="21"/>
          <w:szCs w:val="21"/>
        </w:rPr>
        <w:br/>
        <w:t>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энергетической эффективности,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  <w:r>
        <w:rPr>
          <w:rFonts w:ascii="Georgia" w:hAnsi="Georgia"/>
          <w:color w:val="000000"/>
          <w:sz w:val="21"/>
          <w:szCs w:val="21"/>
        </w:rPr>
        <w:br/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  <w:r>
        <w:rPr>
          <w:rFonts w:ascii="Georgia" w:hAnsi="Georgia"/>
          <w:color w:val="000000"/>
          <w:sz w:val="21"/>
          <w:szCs w:val="21"/>
        </w:rPr>
        <w:br/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рублей.";</w:t>
      </w:r>
    </w:p>
    <w:p w:rsidR="0082042B" w:rsidRDefault="0082042B" w:rsidP="0082042B">
      <w:pPr>
        <w:pStyle w:val="a3"/>
        <w:jc w:val="both"/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82042B" w:rsidRDefault="00680777" w:rsidP="0082042B">
      <w:pPr>
        <w:pStyle w:val="a3"/>
        <w:spacing w:before="0" w:after="0"/>
        <w:jc w:val="both"/>
      </w:pPr>
      <w:hyperlink r:id="rId5" w:history="1">
        <w:r w:rsidR="0082042B">
          <w:rPr>
            <w:rStyle w:val="a5"/>
            <w:rFonts w:ascii="Georgia" w:hAnsi="Georgia"/>
            <w:color w:val="000000"/>
            <w:sz w:val="21"/>
            <w:szCs w:val="21"/>
          </w:rPr>
          <w:t> Оснащенность приборами учета используемых энергетических ресурсов, обобщенные относительно государственного, муниципального, частного жилищных фондов</w:t>
        </w:r>
      </w:hyperlink>
    </w:p>
    <w:p w:rsidR="0082042B" w:rsidRDefault="00680777" w:rsidP="0082042B">
      <w:pPr>
        <w:pStyle w:val="a3"/>
        <w:jc w:val="both"/>
      </w:pPr>
      <w:hyperlink r:id="rId6" w:history="1">
        <w:r w:rsidR="0082042B">
          <w:rPr>
            <w:rStyle w:val="a5"/>
            <w:rFonts w:ascii="Georgia" w:hAnsi="Georgia"/>
            <w:sz w:val="21"/>
            <w:szCs w:val="21"/>
          </w:rPr>
          <w:t>Данные энергетических паспортов</w:t>
        </w:r>
      </w:hyperlink>
    </w:p>
    <w:p w:rsidR="0082042B" w:rsidRDefault="00680777" w:rsidP="0082042B">
      <w:pPr>
        <w:pStyle w:val="a3"/>
        <w:spacing w:before="0" w:after="0"/>
        <w:jc w:val="both"/>
      </w:pPr>
      <w:hyperlink r:id="rId7" w:tooltip="О практике заключения энергосервисных договоров (контрактов), в том числе энергосервисных договоров (контрактов), заключенных для обеспечения муниципальных нужд, и об объеме планируемой экономии (в том числе в стоимостном выражении) энергетических ресурсо" w:history="1">
        <w:r w:rsidR="0082042B">
          <w:rPr>
            <w:rStyle w:val="a5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 xml:space="preserve">О практике заключения </w:t>
        </w:r>
        <w:proofErr w:type="spellStart"/>
        <w:r w:rsidR="0082042B">
          <w:rPr>
            <w:rStyle w:val="a5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>энергосервисных</w:t>
        </w:r>
        <w:proofErr w:type="spellEnd"/>
        <w:r w:rsidR="0082042B">
          <w:rPr>
            <w:rStyle w:val="a5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 xml:space="preserve"> договоров (контрактов), в том числе </w:t>
        </w:r>
        <w:proofErr w:type="spellStart"/>
        <w:r w:rsidR="0082042B">
          <w:rPr>
            <w:rStyle w:val="a5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>энергосервисных</w:t>
        </w:r>
        <w:proofErr w:type="spellEnd"/>
        <w:r w:rsidR="0082042B">
          <w:rPr>
            <w:rStyle w:val="a5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 xml:space="preserve"> договоров (контрактов), заключенных для обеспечения муниципальных нужд, и об объеме планируемой экономии (в том числе в стоимостном выражении) энергетических ресурсо</w:t>
        </w:r>
      </w:hyperlink>
      <w:r w:rsidR="0082042B">
        <w:rPr>
          <w:rFonts w:ascii="Georgia" w:hAnsi="Georgia"/>
          <w:color w:val="000000"/>
          <w:sz w:val="21"/>
          <w:szCs w:val="21"/>
        </w:rPr>
        <w:t>в</w:t>
      </w:r>
      <w:r w:rsidR="0082042B">
        <w:rPr>
          <w:rFonts w:ascii="Georgia" w:hAnsi="Georgia"/>
          <w:color w:val="000000"/>
          <w:sz w:val="21"/>
          <w:szCs w:val="21"/>
        </w:rPr>
        <w:br/>
      </w:r>
      <w:r w:rsidR="0082042B">
        <w:rPr>
          <w:rFonts w:ascii="Georgia" w:hAnsi="Georgia"/>
          <w:color w:val="000000"/>
          <w:sz w:val="21"/>
          <w:szCs w:val="21"/>
        </w:rPr>
        <w:br/>
      </w:r>
      <w:hyperlink r:id="rId8" w:history="1">
        <w:r w:rsidR="0082042B">
          <w:rPr>
            <w:rStyle w:val="a5"/>
            <w:rFonts w:ascii="Georgia" w:hAnsi="Georgia"/>
            <w:color w:val="000000"/>
            <w:sz w:val="21"/>
            <w:szCs w:val="21"/>
          </w:rPr>
          <w:t>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повышения энергетической эффективности</w:t>
        </w:r>
      </w:hyperlink>
      <w:r w:rsidR="0082042B">
        <w:rPr>
          <w:rFonts w:ascii="Georgia" w:hAnsi="Georgia"/>
          <w:color w:val="000000"/>
          <w:sz w:val="21"/>
          <w:szCs w:val="21"/>
        </w:rPr>
        <w:br/>
      </w:r>
      <w:r w:rsidR="0082042B">
        <w:rPr>
          <w:rFonts w:ascii="Georgia" w:hAnsi="Georgia"/>
          <w:color w:val="000000"/>
          <w:sz w:val="21"/>
          <w:szCs w:val="21"/>
        </w:rPr>
        <w:br/>
      </w:r>
      <w:hyperlink r:id="rId9" w:history="1">
        <w:r w:rsidR="0082042B">
          <w:rPr>
            <w:rStyle w:val="a5"/>
            <w:rFonts w:ascii="Georgia" w:hAnsi="Georgia"/>
            <w:color w:val="000000"/>
            <w:sz w:val="21"/>
            <w:szCs w:val="21"/>
          </w:rPr>
          <w:t>Нормативные правовые акты об энергосбережении и о повышении энергетической эффективности</w:t>
        </w:r>
      </w:hyperlink>
    </w:p>
    <w:p w:rsidR="00655FC6" w:rsidRDefault="00655FC6"/>
    <w:sectPr w:rsidR="0065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8"/>
    <w:rsid w:val="000A309E"/>
    <w:rsid w:val="005033C3"/>
    <w:rsid w:val="00655FC6"/>
    <w:rsid w:val="00680777"/>
    <w:rsid w:val="0082042B"/>
    <w:rsid w:val="00C85547"/>
    <w:rsid w:val="00D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42B"/>
    <w:rPr>
      <w:b/>
      <w:bCs/>
    </w:rPr>
  </w:style>
  <w:style w:type="character" w:styleId="a5">
    <w:name w:val="Hyperlink"/>
    <w:basedOn w:val="a0"/>
    <w:uiPriority w:val="99"/>
    <w:semiHidden/>
    <w:unhideWhenUsed/>
    <w:rsid w:val="00820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42B"/>
    <w:rPr>
      <w:b/>
      <w:bCs/>
    </w:rPr>
  </w:style>
  <w:style w:type="character" w:styleId="a5">
    <w:name w:val="Hyperlink"/>
    <w:basedOn w:val="a0"/>
    <w:uiPriority w:val="99"/>
    <w:semiHidden/>
    <w:unhideWhenUsed/>
    <w:rsid w:val="00820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ovogp.ru/page/o-produkcii-tehnologicheskih-processah-svjazannyh-s-ispolzovaniem-energeticheskih-resursov-i-imejushhih-vysokuju-energeticheskuju-effektivnost-o-naibolee-rezultativnyh-meroprijatijah-po-energosberezheniju-o-perspektivnyh-napravlenijah-energosberezhenija-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utovogp.ru/page/o-praktike-zakljuchenija-energoservisnyh-dogovorov-kontraktov-v-tom-chisle-energoservisnyh-dogovorov-kontraktov-zakljuchennyh-dlja-obespechenija-municipalnyh-nuzhd-i-ob-obeme-planiruemoj-ekonomii-v-tom-chisle-v-stoimostnom-vyrazhenii-energeticheskih-res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utovogp.ru/page/dannye-energeticheskih-pasport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iutovogp.ru/page/osnashhennost-priborami-ucheta-ispolzuemyh-energeticheskih-resursov-obobshhennye-otnositelno-gosudarstvennogo-municipalnogo-chastnogo-zhilishhnyh-fond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iutovogp.ru/page/normativnye-pravovye-akty-ob-energosberezhenii-i-o-povyshenii-energeticheskoj-effektiv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2018-07-03T10:40:00Z</dcterms:created>
  <dcterms:modified xsi:type="dcterms:W3CDTF">2018-08-18T10:58:00Z</dcterms:modified>
</cp:coreProperties>
</file>